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1440" w:firstLineChars="4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临时占用城市道路的审批流程图</w:t>
      </w:r>
    </w:p>
    <w:p/>
    <w:p>
      <w:pPr>
        <w:tabs>
          <w:tab w:val="left" w:pos="5130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52" o:spid="_x0000_s1026" type="#_x0000_t176" style="position:absolute;left:0;margin-left:120pt;margin-top:13.95pt;height:34.35pt;width:146.25pt;rotation:0f;z-index:251658240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提出申请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</w:t>
      </w:r>
    </w:p>
    <w:p>
      <w:pPr>
        <w:tabs>
          <w:tab w:val="left" w:pos="2310"/>
          <w:tab w:val="left" w:pos="5490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60" o:spid="_x0000_s1027" type="#_x0000_t109" style="position:absolute;left:0;margin-left:-6.75pt;margin-top:2.7pt;height:30pt;width:72pt;rotation:0f;z-index:25166131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资料补正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</w:t>
      </w:r>
      <w:r>
        <w:tab/>
      </w:r>
      <w:r>
        <w:tab/>
      </w:r>
    </w:p>
    <w:p>
      <w:pPr>
        <w:tabs>
          <w:tab w:val="left" w:pos="5895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80" o:spid="_x0000_s1028" type="#_x0000_t32" style="position:absolute;left:0;margin-left:65.25pt;margin-top:1.5pt;height:0.05pt;width:49.5pt;rotation:0f;z-index:251672576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75" o:spid="_x0000_s1029" type="#_x0000_t109" style="position:absolute;left:0;margin-left:295.5pt;margin-top:1.5pt;height:110.25pt;width:109.5pt;rotation:0f;z-index:251667456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1、申请书；</w:t>
                  </w:r>
                </w:p>
                <w:p>
                  <w:r>
                    <w:rPr>
                      <w:rFonts w:hint="eastAsia"/>
                    </w:rPr>
                    <w:t>2、公民身份证或法人营业执照；</w:t>
                  </w:r>
                </w:p>
                <w:p>
                  <w:r>
                    <w:rPr>
                      <w:rFonts w:hint="eastAsia"/>
                    </w:rPr>
                    <w:t>3、地点、现状情况、占用说明；</w:t>
                  </w:r>
                </w:p>
                <w:p>
                  <w:r>
                    <w:rPr>
                      <w:rFonts w:hint="eastAsia"/>
                    </w:rPr>
                    <w:t>4、相关图纸等。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74" o:spid="_x0000_s1030" type="#_x0000_t32" style="position:absolute;left:0;margin-left:266.25pt;margin-top:1.5pt;height:15.6pt;width:29.25pt;rotation:0f;z-index:251666432;" o:ole="f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/>
        </w:rPr>
        <w:t xml:space="preserve">                              </w:t>
      </w:r>
      <w:r>
        <w:tab/>
      </w:r>
    </w:p>
    <w:p>
      <w:pPr>
        <w:tabs>
          <w:tab w:val="left" w:pos="2250"/>
          <w:tab w:val="center" w:pos="4153"/>
        </w:tabs>
        <w:jc w:val="left"/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79" o:spid="_x0000_s1031" type="#_x0000_t32" style="position:absolute;left:0;margin-left:193.5pt;margin-top:5.55pt;height:39.95pt;width:0.05pt;rotation:0f;z-index:251671552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78" o:spid="_x0000_s1032" type="#_x0000_t32" style="position:absolute;left:0;flip:x y;margin-left:52.5pt;margin-top:5.55pt;height:60pt;width:82.5pt;rotation:0f;z-index:251670528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tab/>
      </w:r>
      <w:r>
        <w:tab/>
      </w:r>
    </w:p>
    <w:p>
      <w:pPr>
        <w:ind w:firstLine="1785" w:firstLineChars="850"/>
      </w:pPr>
      <w:r>
        <w:rPr>
          <w:rFonts w:hint="eastAsia"/>
        </w:rPr>
        <w:t xml:space="preserve">否                   </w:t>
      </w:r>
    </w:p>
    <w:p>
      <w:pPr>
        <w:jc w:val="center"/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55" o:spid="_x0000_s1033" type="#_x0000_t110" style="position:absolute;left:0;margin-left:131.25pt;margin-top:14.3pt;height:41.4pt;width:126pt;rotation:0f;z-index:251659264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 xml:space="preserve"> 是否通过</w:t>
                  </w:r>
                </w:p>
              </w:txbxContent>
            </v:textbox>
          </v:shape>
        </w:pict>
      </w:r>
    </w:p>
    <w:p>
      <w:r>
        <w:rPr>
          <w:rFonts w:hint="eastAsia"/>
        </w:rPr>
        <w:t xml:space="preserve">               </w:t>
      </w:r>
    </w:p>
    <w:p>
      <w:pPr>
        <w:ind w:firstLine="3885" w:firstLineChars="1850"/>
      </w:pPr>
    </w:p>
    <w:p>
      <w:pPr>
        <w:ind w:firstLine="3885" w:firstLineChars="1850"/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81" o:spid="_x0000_s1034" type="#_x0000_t32" style="position:absolute;left:0;margin-left:193.5pt;margin-top:8.9pt;height:61.9pt;width:0.05pt;rotation:0f;z-index:251673600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ind w:firstLine="3885" w:firstLineChars="1850"/>
      </w:pPr>
      <w:r>
        <w:rPr>
          <w:rFonts w:hint="eastAsia"/>
        </w:rPr>
        <w:t xml:space="preserve"> </w:t>
      </w:r>
    </w:p>
    <w:p>
      <w:pPr>
        <w:ind w:firstLine="3885" w:firstLineChars="1850"/>
      </w:pPr>
      <w:r>
        <w:rPr>
          <w:rFonts w:hint="eastAsia"/>
        </w:rPr>
        <w:t xml:space="preserve"> 是</w:t>
      </w:r>
    </w:p>
    <w:p>
      <w:pPr>
        <w:ind w:firstLine="3885" w:firstLineChars="1850"/>
      </w:pP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2077" o:spid="_x0000_s1035" style="position:absolute;left:0;margin-left:12.75pt;margin-top:2.85pt;height:39pt;width:102pt;rotation:0f;z-index:25166950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受理事项、办结时间、受理人签字等</w:t>
                  </w:r>
                </w:p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57" o:spid="_x0000_s1036" type="#_x0000_t176" style="position:absolute;left:0;margin-left:147pt;margin-top:8.4pt;height:28.5pt;width:100.5pt;rotation:0f;z-index:251660288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 xml:space="preserve">      受理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</w: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76" o:spid="_x0000_s1037" type="#_x0000_t32" style="position:absolute;left:0;flip:x;margin-left:114.75pt;margin-top:8.25pt;height:0.05pt;width:32.25pt;rotation:0f;z-index:251668480;" o:ole="f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82" o:spid="_x0000_s1038" type="#_x0000_t32" style="position:absolute;left:0;margin-left:193.5pt;margin-top:10.65pt;height:48.15pt;width:0.05pt;rotation:0f;z-index:251674624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r>
        <w:rPr>
          <w:rFonts w:hint="eastAsia"/>
        </w:rPr>
        <w:t xml:space="preserve">                                    </w:t>
      </w:r>
    </w:p>
    <w:p/>
    <w:p>
      <w:pPr>
        <w:tabs>
          <w:tab w:val="left" w:pos="5085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62" o:spid="_x0000_s1039" type="#_x0000_t176" style="position:absolute;left:0;margin-left:147pt;margin-top:12pt;height:28.5pt;width:100.5pt;rotation:0f;z-index:251662336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审核</w:t>
                  </w:r>
                </w:p>
              </w:txbxContent>
            </v:textbox>
          </v:shape>
        </w:pict>
      </w:r>
      <w:r>
        <w:tab/>
      </w:r>
    </w:p>
    <w:p>
      <w:pPr>
        <w:tabs>
          <w:tab w:val="left" w:pos="5085"/>
        </w:tabs>
      </w:pPr>
      <w:r>
        <w:rPr>
          <w:rFonts w:hint="eastAsia"/>
        </w:rPr>
        <w:t xml:space="preserve">                                                                  </w:t>
      </w:r>
    </w:p>
    <w:p>
      <w:pPr>
        <w:tabs>
          <w:tab w:val="left" w:pos="5085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83" o:spid="_x0000_s1040" type="#_x0000_t32" style="position:absolute;left:0;margin-left:193.5pt;margin-top:13.65pt;height:47.25pt;width:0.05pt;rotation:0f;z-index:251675648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tab/>
      </w:r>
    </w:p>
    <w:p>
      <w:pPr>
        <w:tabs>
          <w:tab w:val="left" w:pos="5085"/>
        </w:tabs>
      </w:pPr>
      <w:r>
        <w:rPr>
          <w:rFonts w:hint="eastAsia"/>
        </w:rPr>
        <w:t xml:space="preserve">                                     </w:t>
      </w:r>
    </w:p>
    <w:p>
      <w:pPr>
        <w:tabs>
          <w:tab w:val="left" w:pos="5085"/>
        </w:tabs>
      </w:pPr>
    </w:p>
    <w:p>
      <w:pPr>
        <w:tabs>
          <w:tab w:val="left" w:pos="5085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64" o:spid="_x0000_s1041" type="#_x0000_t110" style="position:absolute;left:0;margin-left:126pt;margin-top:14.1pt;height:39.75pt;width:131.25pt;rotation:0f;z-index:25166336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是否通过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 </w:t>
      </w:r>
    </w:p>
    <w:p/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89" o:spid="_x0000_s1042" type="#_x0000_t32" style="position:absolute;left:0;margin-left:318pt;margin-top:3.9pt;height:162pt;width:0.05pt;rotation:0f;z-index:251679744;" o:ole="f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88" o:spid="_x0000_s1043" type="#_x0000_t32" style="position:absolute;left:0;margin-left:257.25pt;margin-top:3.9pt;height:0.05pt;width:60.75pt;rotation:0f;z-index:251678720;" o:ole="f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/>
        </w:rPr>
        <w:t xml:space="preserve"> </w: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84" o:spid="_x0000_s1044" type="#_x0000_t32" style="position:absolute;left:0;margin-left:193.5pt;margin-top:7.05pt;height:37.7pt;width:0.05pt;rotation:0f;z-index:251676672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r>
        <w:rPr>
          <w:rFonts w:hint="eastAsia"/>
        </w:rPr>
        <w:t xml:space="preserve">                                      是</w: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66" o:spid="_x0000_s1045" type="#_x0000_t176" style="position:absolute;left:0;margin-left:147pt;margin-top:13.55pt;height:31.9pt;width:108pt;rotation:0f;z-index:251664384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firstLine="735" w:firstLineChars="350"/>
                  </w:pPr>
                  <w:r>
                    <w:rPr>
                      <w:rFonts w:hint="eastAsia"/>
                    </w:rPr>
                    <w:t>审批</w:t>
                  </w:r>
                </w:p>
                <w:p>
                  <w:pPr>
                    <w:ind w:firstLine="735" w:firstLineChars="350"/>
                  </w:pPr>
                </w:p>
                <w:p>
                  <w:pPr>
                    <w:ind w:firstLine="735" w:firstLineChars="350"/>
                  </w:pPr>
                </w:p>
              </w:txbxContent>
            </v:textbox>
          </v:shape>
        </w:pict>
      </w:r>
    </w:p>
    <w:p/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85" o:spid="_x0000_s1046" type="#_x0000_t32" style="position:absolute;left:0;margin-left:193.5pt;margin-top:14.25pt;height:59.85pt;width:0.05pt;rotation:0f;z-index:251677696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/>
        </w:rPr>
        <w:t xml:space="preserve">                                                         否</w:t>
      </w:r>
    </w:p>
    <w:p/>
    <w:p>
      <w:r>
        <w:rPr>
          <w:rFonts w:hint="eastAsia"/>
        </w:rPr>
        <w:t xml:space="preserve">                               </w:t>
      </w:r>
    </w:p>
    <w:p>
      <w:pPr>
        <w:tabs>
          <w:tab w:val="left" w:pos="5325"/>
        </w:tabs>
        <w:jc w:val="center"/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91" o:spid="_x0000_s1047" type="#_x0000_t78" style="position:absolute;left:0;margin-left:41.25pt;margin-top:27.3pt;height:29.25pt;width:102pt;rotation:0f;z-index:251681792;" o:ole="f" fillcolor="#FFFFFF" filled="t" o:preferrelative="t" stroked="t" coordorigin="0,0" coordsize="21600,21600" adj="14400,5400,18000,81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事后监管</w:t>
                  </w:r>
                </w:p>
                <w:p/>
              </w:txbxContent>
            </v:textbox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90" o:spid="_x0000_s1048" type="#_x0000_t32" style="position:absolute;left:0;flip:x;margin-left:257.25pt;margin-top:41.1pt;height:0.05pt;width:60.75pt;rotation:0f;z-index:251680768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71" o:spid="_x0000_s1049" type="#_x0000_t176" style="position:absolute;left:0;margin-left:147pt;margin-top:11.7pt;height:43.5pt;width:108pt;rotation:0f;z-index:251665408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办结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（2个工作日）</w:t>
                  </w:r>
                </w:p>
              </w:txbxContent>
            </v:textbox>
          </v:shape>
        </w:pict>
      </w:r>
    </w:p>
    <w:p/>
    <w:p>
      <w:bookmarkStart w:id="0" w:name="_GoBack"/>
      <w:bookmarkEnd w:id="0"/>
    </w:p>
    <w:p>
      <w:pPr>
        <w:tabs>
          <w:tab w:val="left" w:pos="5535"/>
        </w:tabs>
      </w:pPr>
      <w:r>
        <w:tab/>
      </w:r>
    </w:p>
    <w:p>
      <w:pPr>
        <w:tabs>
          <w:tab w:val="left" w:pos="5535"/>
        </w:tabs>
      </w:pPr>
    </w:p>
    <w:p>
      <w:pPr>
        <w:tabs>
          <w:tab w:val="left" w:pos="5535"/>
        </w:tabs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承办机构：晋城市城市管理局</w:t>
      </w:r>
    </w:p>
    <w:p>
      <w:pPr>
        <w:tabs>
          <w:tab w:val="left" w:pos="5535"/>
        </w:tabs>
        <w:ind w:right="420" w:firstLine="5565" w:firstLineChars="2650"/>
        <w:rPr>
          <w:rFonts w:hint="eastAsia" w:ascii="宋体" w:hAnsi="宋体"/>
        </w:rPr>
      </w:pPr>
      <w:r>
        <w:rPr>
          <w:rFonts w:hint="eastAsia" w:ascii="宋体" w:hAnsi="宋体"/>
        </w:rPr>
        <w:t>服务电话：</w:t>
      </w:r>
      <w:r>
        <w:rPr>
          <w:rFonts w:hint="eastAsia" w:ascii="宋体" w:hAnsi="宋体"/>
          <w:lang w:val="en-US" w:eastAsia="zh-CN"/>
        </w:rPr>
        <w:t>0356-</w:t>
      </w:r>
      <w:r>
        <w:rPr>
          <w:rFonts w:hint="eastAsia" w:ascii="宋体" w:hAnsi="宋体"/>
        </w:rPr>
        <w:t>2296008</w:t>
      </w:r>
    </w:p>
    <w:p>
      <w:pPr>
        <w:tabs>
          <w:tab w:val="left" w:pos="5535"/>
        </w:tabs>
        <w:ind w:right="420"/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</w:t>
      </w: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hint="eastAsia" w:ascii="宋体" w:hAnsi="宋体"/>
        </w:rPr>
        <w:t>监督电话：</w:t>
      </w:r>
      <w:r>
        <w:rPr>
          <w:rFonts w:hint="eastAsia" w:ascii="宋体" w:hAnsi="宋体"/>
          <w:lang w:val="en-US" w:eastAsia="zh-CN"/>
        </w:rPr>
        <w:t>0356-</w:t>
      </w:r>
      <w:r>
        <w:rPr>
          <w:rFonts w:hint="eastAsia" w:ascii="宋体" w:hAnsi="宋体"/>
        </w:rPr>
        <w:t>2296008</w:t>
      </w:r>
    </w:p>
    <w:p>
      <w:pPr>
        <w:jc w:val="center"/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临时占用城市道路的审批风险防控图</w:t>
      </w:r>
    </w:p>
    <w:p>
      <w:pPr>
        <w:tabs>
          <w:tab w:val="left" w:pos="5535"/>
        </w:tabs>
      </w:pPr>
    </w:p>
    <w:p>
      <w:pPr>
        <w:tabs>
          <w:tab w:val="left" w:pos="5535"/>
        </w:tabs>
      </w:pPr>
    </w:p>
    <w:p>
      <w:pPr>
        <w:tabs>
          <w:tab w:val="left" w:pos="5535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92" o:spid="_x0000_s1050" type="#_x0000_t176" style="position:absolute;left:0;margin-left:81pt;margin-top:5.1pt;height:22.5pt;width:199.5pt;rotation:0f;z-index:251682816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申请人提出申请</w:t>
                  </w:r>
                </w:p>
              </w:txbxContent>
            </v:textbox>
          </v:shape>
        </w:pict>
      </w:r>
    </w:p>
    <w:p>
      <w:pPr>
        <w:tabs>
          <w:tab w:val="left" w:pos="5535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12" o:spid="_x0000_s1051" type="#_x0000_t32" style="position:absolute;left:0;margin-left:176.25pt;margin-top:12pt;height:39pt;width:0.75pt;rotation:0f;z-index:251703296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tabs>
          <w:tab w:val="left" w:pos="5535"/>
        </w:tabs>
      </w:pPr>
    </w:p>
    <w:p>
      <w:pPr>
        <w:tabs>
          <w:tab w:val="left" w:pos="5535"/>
        </w:tabs>
      </w:pPr>
    </w:p>
    <w:p>
      <w:pPr>
        <w:tabs>
          <w:tab w:val="left" w:pos="5535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03" o:spid="_x0000_s1052" type="#_x0000_t109" style="position:absolute;left:0;margin-left:284.25pt;margin-top:4.2pt;height:145.5pt;width:136.5pt;rotation:0f;z-index:25169408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1、实行受理清单制；</w:t>
                  </w:r>
                </w:p>
                <w:p>
                  <w:r>
                    <w:rPr>
                      <w:rFonts w:hint="eastAsia"/>
                    </w:rPr>
                    <w:t>2、严格履行服务承诺制度，做到首问负责制和一次性告知；</w:t>
                  </w:r>
                </w:p>
                <w:p>
                  <w:r>
                    <w:rPr>
                      <w:rFonts w:hint="eastAsia"/>
                    </w:rPr>
                    <w:t>3、政务公开，明确工作程序；</w:t>
                  </w:r>
                </w:p>
                <w:p>
                  <w:r>
                    <w:rPr>
                      <w:rFonts w:hint="eastAsia"/>
                    </w:rPr>
                    <w:t>4、内部监督检查，投诉举报受理。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02" o:spid="_x0000_s1053" type="#_x0000_t109" style="position:absolute;left:0;margin-left:-36pt;margin-top:4.2pt;height:145.5pt;width:122.25pt;rotation:0f;z-index:251693056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1、故意刁难申请人；</w:t>
                  </w:r>
                </w:p>
                <w:p>
                  <w:r>
                    <w:rPr>
                      <w:rFonts w:hint="eastAsia"/>
                    </w:rPr>
                    <w:t>2、不按规定程序受理；</w:t>
                  </w:r>
                </w:p>
                <w:p>
                  <w:r>
                    <w:rPr>
                      <w:rFonts w:hint="eastAsia"/>
                    </w:rPr>
                    <w:t>3、无原因超时办理；</w:t>
                  </w:r>
                </w:p>
                <w:p>
                  <w:r>
                    <w:rPr>
                      <w:rFonts w:hint="eastAsia"/>
                    </w:rPr>
                    <w:t>不一次性告知所需材料；</w:t>
                  </w:r>
                </w:p>
                <w:p>
                  <w:r>
                    <w:rPr>
                      <w:rFonts w:hint="eastAsia"/>
                    </w:rPr>
                    <w:t>5、不严格审查或故意让虚假材料通过。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09" o:spid="_x0000_s1054" type="#_x0000_t32" style="position:absolute;left:0;margin-left:231pt;margin-top:411.45pt;height:0.05pt;width:49.5pt;rotation:0f;z-index:251700224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08" o:spid="_x0000_s1055" type="#_x0000_t32" style="position:absolute;left:0;flip:x;margin-left:90pt;margin-top:411.45pt;height:0.05pt;width:45.75pt;rotation:0f;z-index:251699200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98" o:spid="_x0000_s1056" type="#_x0000_t176" style="position:absolute;left:0;margin-left:135.75pt;margin-top:394.2pt;height:30.75pt;width:95.25pt;rotation:0f;z-index:251688960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办理许可手续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04" o:spid="_x0000_s1057" type="#_x0000_t32" style="position:absolute;left:0;flip:x;margin-left:85.5pt;margin-top:259.95pt;height:0.05pt;width:54pt;rotation:0f;z-index:251695104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05" o:spid="_x0000_s1058" type="#_x0000_t32" style="position:absolute;left:0;margin-left:226.5pt;margin-top:259.95pt;height:0.05pt;width:54pt;rotation:0f;z-index:251696128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00" o:spid="_x0000_s1059" type="#_x0000_t32" style="position:absolute;left:0;flip:x;margin-left:90pt;margin-top:82.2pt;height:0.05pt;width:39.75pt;rotation:0f;z-index:251691008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01" o:spid="_x0000_s1060" type="#_x0000_t32" style="position:absolute;left:0;margin-left:226.5pt;margin-top:82.2pt;height:0.05pt;width:54pt;rotation:0f;z-index:251692032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97" o:spid="_x0000_s1061" type="#_x0000_t176" style="position:absolute;left:0;margin-left:114pt;margin-top:315.45pt;height:36pt;width:135.75pt;rotation:0f;z-index:251687936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作出许可决定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96" o:spid="_x0000_s1062" type="#_x0000_t176" style="position:absolute;left:0;margin-left:139.5pt;margin-top:245.7pt;height:30.75pt;width:87pt;rotation:0f;z-index:251686912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审批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95" o:spid="_x0000_s1063" type="#_x0000_t176" style="position:absolute;left:0;margin-left:114pt;margin-top:149.7pt;height:33.75pt;width:132pt;rotation:0f;z-index:251685888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领取并填写申请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94" o:spid="_x0000_s1064" type="#_x0000_t176" style="position:absolute;left:0;margin-left:129.75pt;margin-top:67.2pt;height:24pt;width:96.75pt;rotation:0f;z-index:251684864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93" o:spid="_x0000_s1065" type="#_x0000_t176" style="position:absolute;left:0;margin-left:114pt;margin-top:4.2pt;height:24pt;width:121.5pt;rotation:0f;z-index:251683840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提供材料</w:t>
                  </w:r>
                </w:p>
              </w:txbxContent>
            </v:textbox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13" o:spid="_x0000_s1066" type="#_x0000_t32" style="position:absolute;left:0;margin-left:177pt;margin-top:12.6pt;height:39pt;width:0.05pt;rotation:0f;z-index:251704320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/>
    <w:p/>
    <w:p>
      <w:pPr>
        <w:tabs>
          <w:tab w:val="left" w:pos="1935"/>
          <w:tab w:val="center" w:pos="4153"/>
        </w:tabs>
      </w:pPr>
      <w:r>
        <w:tab/>
      </w:r>
      <w:r>
        <w:rPr>
          <w:rFonts w:hint="eastAsia"/>
        </w:rPr>
        <w:t>风险点</w:t>
      </w:r>
      <w:r>
        <w:tab/>
      </w:r>
      <w:r>
        <w:rPr>
          <w:rFonts w:hint="eastAsia"/>
        </w:rPr>
        <w:t xml:space="preserve">                防控措施</w: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14" o:spid="_x0000_s1067" type="#_x0000_t32" style="position:absolute;left:0;margin-left:177pt;margin-top:13.2pt;height:58.5pt;width:0.05pt;rotation:0f;z-index:251705344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/>
    <w:p/>
    <w:p/>
    <w:p/>
    <w:p/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15" o:spid="_x0000_s1068" type="#_x0000_t32" style="position:absolute;left:0;margin-left:177pt;margin-top:11.85pt;height:62.25pt;width:0.05pt;rotation:0f;z-index:251706368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07" o:spid="_x0000_s1069" type="#_x0000_t109" style="position:absolute;left:0;margin-left:284.25pt;margin-top:12pt;height:148.5pt;width:136.5pt;rotation:0f;z-index:251698176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1、量化检查标准，执行回避制度；</w:t>
                  </w:r>
                </w:p>
                <w:p>
                  <w:r>
                    <w:rPr>
                      <w:rFonts w:hint="eastAsia"/>
                    </w:rPr>
                    <w:t>2、严格执行责任追究制度，采取定期抽查、集体评议；</w:t>
                  </w:r>
                </w:p>
                <w:p>
                  <w:r>
                    <w:rPr>
                      <w:rFonts w:hint="eastAsia"/>
                    </w:rPr>
                    <w:t>3、强化事后监管，发现并及时纠正问题；</w:t>
                  </w:r>
                </w:p>
                <w:p>
                  <w:r>
                    <w:rPr>
                      <w:rFonts w:hint="eastAsia"/>
                    </w:rPr>
                    <w:t>4、强化纪检监察，设立举报电话、举报箱和信访受理。</w:t>
                  </w:r>
                </w:p>
              </w:txbxContent>
            </v:textbox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06" o:spid="_x0000_s1070" type="#_x0000_t109" style="position:absolute;left:0;margin-left:-32.25pt;margin-top:1.65pt;height:143.25pt;width:118.5pt;rotation:0f;z-index:25169715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1、擅自降低检查标准；2、现场检查结果的判断不客观、不公正；</w:t>
                  </w:r>
                </w:p>
                <w:p>
                  <w:r>
                    <w:rPr>
                      <w:rFonts w:hint="eastAsia"/>
                    </w:rPr>
                    <w:t>3、无原因超时办理；</w:t>
                  </w:r>
                </w:p>
                <w:p>
                  <w:r>
                    <w:rPr>
                      <w:rFonts w:hint="eastAsia"/>
                    </w:rPr>
                    <w:t>4、违规审核审批；</w:t>
                  </w:r>
                </w:p>
                <w:p>
                  <w:r>
                    <w:rPr>
                      <w:rFonts w:hint="eastAsia"/>
                    </w:rPr>
                    <w:t>5、擅自改变审查结论；</w:t>
                  </w:r>
                </w:p>
                <w:p>
                  <w:r>
                    <w:rPr>
                      <w:rFonts w:hint="eastAsia"/>
                    </w:rPr>
                    <w:t>6、对符合条件的不批准。</w:t>
                  </w:r>
                </w:p>
              </w:txbxContent>
            </v:textbox>
          </v:shape>
        </w:pict>
      </w:r>
    </w:p>
    <w:p/>
    <w:p>
      <w:pPr>
        <w:tabs>
          <w:tab w:val="left" w:pos="1920"/>
          <w:tab w:val="left" w:pos="4665"/>
        </w:tabs>
      </w:pPr>
      <w:r>
        <w:tab/>
      </w:r>
      <w:r>
        <w:rPr>
          <w:rFonts w:hint="eastAsia"/>
        </w:rPr>
        <w:t>风险点</w:t>
      </w:r>
      <w:r>
        <w:tab/>
      </w:r>
      <w:r>
        <w:rPr>
          <w:rFonts w:hint="eastAsia"/>
        </w:rPr>
        <w:t>防控措施</w:t>
      </w:r>
    </w:p>
    <w:p/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16" o:spid="_x0000_s1071" type="#_x0000_t32" style="position:absolute;left:0;margin-left:177pt;margin-top:11.25pt;height:39pt;width:0.05pt;rotation:0f;z-index:251707392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/>
    <w:p/>
    <w:p/>
    <w:p/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17" o:spid="_x0000_s1072" type="#_x0000_t32" style="position:absolute;left:0;margin-left:177pt;margin-top:8.25pt;height:42.75pt;width:0.05pt;rotation:0f;z-index:251708416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/>
    <w:p>
      <w:pPr>
        <w:tabs>
          <w:tab w:val="left" w:pos="1935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11" o:spid="_x0000_s1073" type="#_x0000_t109" style="position:absolute;left:0;margin-left:280.5pt;margin-top:6.3pt;height:57pt;width:140.25pt;rotation:0f;z-index:25170227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1、加强内部监管，严格执行责任追究制；</w:t>
                  </w:r>
                </w:p>
                <w:p>
                  <w:r>
                    <w:rPr>
                      <w:rFonts w:hint="eastAsia"/>
                    </w:rPr>
                    <w:t>2、落实限时办理制度。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10" o:spid="_x0000_s1074" type="#_x0000_t109" style="position:absolute;left:0;margin-left:-32.25pt;margin-top:13.8pt;height:44.25pt;width:122.25pt;rotation:0f;z-index:25170124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1、擅自改变许可内容；</w:t>
                  </w:r>
                </w:p>
                <w:p>
                  <w:r>
                    <w:rPr>
                      <w:rFonts w:hint="eastAsia"/>
                    </w:rPr>
                    <w:t>2、不能及时办结。</w:t>
                  </w:r>
                </w:p>
              </w:txbxContent>
            </v:textbox>
          </v:shape>
        </w:pict>
      </w:r>
      <w:r>
        <w:tab/>
      </w:r>
    </w:p>
    <w:p>
      <w:pPr>
        <w:tabs>
          <w:tab w:val="left" w:pos="1980"/>
          <w:tab w:val="left" w:pos="4695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118" o:spid="_x0000_s1075" type="#_x0000_t32" style="position:absolute;left:0;margin-left:177.05pt;margin-top:34.95pt;height:40.5pt;width:0.05pt;rotation:0f;z-index:251709440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2099" o:spid="_x0000_s1076" type="#_x0000_t176" style="position:absolute;left:0;margin-left:139.5pt;margin-top:77.25pt;height:29.25pt;width:81.75pt;rotation:0f;z-index:251689984;" o:ole="f" fillcolor="#FFFFFF" filled="t" o:preferrelative="t" stroked="t" coordorigin="0,0" coordsize="21600,21600" adj="27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办结</w:t>
                  </w:r>
                </w:p>
              </w:txbxContent>
            </v:textbox>
          </v:shape>
        </w:pict>
      </w:r>
      <w:r>
        <w:tab/>
      </w:r>
      <w:r>
        <w:rPr>
          <w:rFonts w:hint="eastAsia"/>
        </w:rPr>
        <w:t>风险点</w:t>
      </w:r>
      <w:r>
        <w:tab/>
      </w:r>
      <w:r>
        <w:rPr>
          <w:rFonts w:hint="eastAsia"/>
        </w:rPr>
        <w:t>防控措施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</Words>
  <Characters>613</Characters>
  <Lines>5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2019-09-03T03:42:00Z</dcterms:created>
  <dc:creator>sc</dc:creator>
  <cp:lastModifiedBy>zw407</cp:lastModifiedBy>
  <cp:lastPrinted>2019-09-03T10:22:00Z</cp:lastPrinted>
  <dcterms:modified xsi:type="dcterms:W3CDTF">2019-10-14T07:07:51Z</dcterms:modified>
  <dc:title>临时占用城市道路的审批流程图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