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7A" w:rsidRDefault="009B557A">
      <w:pPr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晋城市人社局行政给付职权运行风险防控图</w:t>
      </w:r>
    </w:p>
    <w:p w:rsidR="009B557A" w:rsidRDefault="009B557A">
      <w:pPr>
        <w:jc w:val="center"/>
        <w:rPr>
          <w:rFonts w:cs="Times New Roman"/>
          <w:sz w:val="24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（基本养老保险待遇核定支付和抚恤金发放）</w:t>
      </w:r>
    </w:p>
    <w:p w:rsidR="009B557A" w:rsidRDefault="009B557A">
      <w:pPr>
        <w:tabs>
          <w:tab w:val="left" w:pos="7548"/>
        </w:tabs>
        <w:rPr>
          <w:rFonts w:cs="Times New Roman"/>
        </w:rPr>
      </w:pPr>
      <w:r>
        <w:rPr>
          <w:noProof/>
        </w:rPr>
        <w:pict>
          <v:rect id="Rectangle 118" o:spid="_x0000_s1026" style="position:absolute;left:0;text-align:left;margin-left:136.35pt;margin-top:12.4pt;width:143.05pt;height:45.8pt;z-index:251640320" o:preferrelative="t">
            <v:stroke miterlimit="2"/>
            <v:textbox>
              <w:txbxContent>
                <w:p w:rsidR="009B557A" w:rsidRDefault="009B557A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达到国家规定，参加企业养老保险的个人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9" o:spid="_x0000_s1027" style="position:absolute;left:0;text-align:left;margin-left:148.45pt;margin-top:66.3pt;width:118.75pt;height:23.5pt;z-index:251641344" o:preferrelative="t">
            <v:stroke miterlimit="2"/>
            <v:textbox>
              <w:txbxContent>
                <w:p w:rsidR="009B557A" w:rsidRDefault="009B557A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提供相关资料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0" o:spid="_x0000_s1028" style="position:absolute;left:0;text-align:left;margin-left:-40.5pt;margin-top:105.4pt;width:143.05pt;height:45.8pt;z-index:251642368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不符合受理条件的，告知申请人或申报单位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1" o:spid="_x0000_s1029" style="position:absolute;left:0;text-align:left;margin-left:170.9pt;margin-top:111.95pt;width:67.3pt;height:21.65pt;z-index:251643392" o:preferrelative="t">
            <v:stroke miterlimit="2"/>
            <v:textbox>
              <w:txbxContent>
                <w:p w:rsidR="009B557A" w:rsidRDefault="009B557A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审核资料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2" o:spid="_x0000_s1030" style="position:absolute;left:0;text-align:left;margin-left:306.4pt;margin-top:100.95pt;width:95.45pt;height:45.8pt;z-index:251644416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材料不齐全的，一次性告知</w:t>
                  </w:r>
                </w:p>
                <w:p w:rsidR="009B557A" w:rsidRDefault="009B557A"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123" o:spid="_x0000_s1031" style="position:absolute;left:0;text-align:left;margin-left:-40.5pt;margin-top:164.3pt;width:143.05pt;height:45.8pt;z-index:251645440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保险费没有足额缴纳，档案信息不全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4" o:spid="_x0000_s1032" style="position:absolute;left:0;text-align:left;margin-left:136.35pt;margin-top:164.3pt;width:143.05pt;height:39.25pt;z-index:251646464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核查档案信息和缴费情况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5" o:spid="_x0000_s1033" style="position:absolute;left:0;text-align:left;margin-left:306.4pt;margin-top:159.6pt;width:148.6pt;height:70.9pt;z-index:251647488" o:preferrelative="t">
            <v:stroke miterlimit="2"/>
            <v:textbox>
              <w:txbxContent>
                <w:p w:rsidR="009B557A" w:rsidRDefault="009B557A">
                  <w:pPr>
                    <w:rPr>
                      <w:rFonts w:ascii="宋体" w:cs="Times New Roman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达到退休年龄，缴费年限不达</w:t>
                  </w:r>
                  <w:r>
                    <w:rPr>
                      <w:rFonts w:ascii="宋体" w:hAnsi="宋体" w:cs="宋体"/>
                      <w:sz w:val="24"/>
                      <w:szCs w:val="24"/>
                    </w:rPr>
                    <w:t>15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年，通知本人，是否继续缴纳至满</w:t>
                  </w:r>
                  <w:r>
                    <w:rPr>
                      <w:rFonts w:ascii="宋体" w:hAnsi="宋体" w:cs="宋体"/>
                      <w:sz w:val="24"/>
                      <w:szCs w:val="24"/>
                    </w:rPr>
                    <w:t>15</w:t>
                  </w:r>
                  <w:r>
                    <w:rPr>
                      <w:rFonts w:ascii="宋体" w:hAnsi="宋体" w:cs="宋体" w:hint="eastAsia"/>
                      <w:sz w:val="24"/>
                      <w:szCs w:val="24"/>
                    </w:rPr>
                    <w:t>或者转入城乡居民养老保险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6" o:spid="_x0000_s1034" style="position:absolute;left:0;text-align:left;margin-left:-40.5pt;margin-top:236pt;width:143.05pt;height:27.1pt;z-index:251648512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补足费用，完善信息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7" o:spid="_x0000_s1035" style="position:absolute;left:0;text-align:left;margin-left:136.35pt;margin-top:224.85pt;width:143.05pt;height:55.15pt;z-index:251649536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核定待遇并发放养老金领取证，信息采集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8" o:spid="_x0000_s1036" style="position:absolute;left:0;text-align:left;margin-left:311.95pt;margin-top:242.45pt;width:143.05pt;height:25.35pt;z-index:251650560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本人提出申请，做出决定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9" o:spid="_x0000_s1037" style="position:absolute;left:0;text-align:left;margin-left:136.35pt;margin-top:286.35pt;width:155.15pt;height:30.85pt;z-index:251651584" o:preferrelative="t">
            <v:stroke miterlimit="2"/>
            <v:textbox>
              <w:txbxContent>
                <w:p w:rsidR="009B557A" w:rsidRDefault="009B557A">
                  <w:pPr>
                    <w:spacing w:line="480" w:lineRule="auto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按月发放养老金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30" o:spid="_x0000_s1038" style="position:absolute;left:0;text-align:left;margin-left:112.65pt;margin-top:336.05pt;width:216.65pt;height:55.75pt;z-index:251652608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离退休人员死亡，家属携带医院、村委或居委死亡证明、户口注销证明、火化证（民政部门的证明）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ular Callout 133" o:spid="_x0000_s1039" type="#_x0000_t61" style="position:absolute;left:0;text-align:left;margin-left:311.95pt;margin-top:12.4pt;width:117pt;height:29.95pt;z-index:251655680" o:preferrelative="t" adj="-4698,26576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个人档案和身份证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Connector 134" o:spid="_x0000_s1040" type="#_x0000_t32" style="position:absolute;left:0;text-align:left;margin-left:203.6pt;margin-top:49.65pt;width:.05pt;height:22.35pt;z-index:251656704" o:preferrelative="t" filled="t">
            <v:stroke endarrow="block" miterlimit="2"/>
          </v:shape>
        </w:pict>
      </w:r>
      <w:r>
        <w:rPr>
          <w:noProof/>
        </w:rPr>
        <w:pict>
          <v:shape id="Straight Connector 136" o:spid="_x0000_s1041" type="#_x0000_t32" style="position:absolute;left:0;text-align:left;margin-left:203.6pt;margin-top:88.75pt;width:.05pt;height:28.9pt;z-index:251657728" o:preferrelative="t" filled="t">
            <v:stroke endarrow="block" miterlimit="2"/>
          </v:shape>
        </w:pict>
      </w:r>
      <w:r>
        <w:rPr>
          <w:noProof/>
        </w:rPr>
        <w:pict>
          <v:shape id="Straight Connector 137" o:spid="_x0000_s1042" type="#_x0000_t32" style="position:absolute;left:0;text-align:left;margin-left:203.6pt;margin-top:127.9pt;width:.05pt;height:42.1pt;z-index:251658752" o:preferrelative="t" filled="t">
            <v:stroke endarrow="block" miterlimit="2"/>
          </v:shape>
        </w:pict>
      </w:r>
      <w:r>
        <w:rPr>
          <w:noProof/>
        </w:rPr>
        <w:pict>
          <v:shape id="Straight Connector 138" o:spid="_x0000_s1043" type="#_x0000_t32" style="position:absolute;left:0;text-align:left;margin-left:203.6pt;margin-top:195pt;width:.05pt;height:35.55pt;z-index:251659776" o:preferrelative="t" filled="t">
            <v:stroke endarrow="block" miterlimit="2"/>
          </v:shape>
        </w:pict>
      </w:r>
      <w:r>
        <w:rPr>
          <w:noProof/>
        </w:rPr>
        <w:pict>
          <v:shape id="Straight Connector 139" o:spid="_x0000_s1044" type="#_x0000_t32" style="position:absolute;left:0;text-align:left;margin-left:203.6pt;margin-top:268.6pt;width:.05pt;height:22.35pt;z-index:251660800" o:preferrelative="t" filled="t">
            <v:stroke endarrow="block" miterlimit="2"/>
          </v:shape>
        </w:pict>
      </w:r>
      <w:r>
        <w:rPr>
          <w:noProof/>
        </w:rPr>
        <w:pict>
          <v:shape id="Straight Connector 140" o:spid="_x0000_s1045" type="#_x0000_t32" style="position:absolute;left:0;text-align:left;margin-left:203.6pt;margin-top:311.5pt;width:.05pt;height:29.9pt;z-index:251661824" o:preferrelative="t" filled="t">
            <v:stroke endarrow="block" miterlimit="2"/>
          </v:shape>
        </w:pict>
      </w:r>
      <w:r>
        <w:rPr>
          <w:noProof/>
        </w:rPr>
        <w:pict>
          <v:shape id="Straight Connector 143" o:spid="_x0000_s1046" type="#_x0000_t32" style="position:absolute;left:0;text-align:left;margin-left:238.2pt;margin-top:124.2pt;width:68.2pt;height:.1pt;z-index:251663872" o:preferrelative="t" filled="t">
            <v:stroke endarrow="block" miterlimit="2"/>
          </v:shape>
        </w:pict>
      </w:r>
      <w:r>
        <w:rPr>
          <w:noProof/>
        </w:rPr>
        <w:pict>
          <v:shape id="Straight Connector 146" o:spid="_x0000_s1047" type="#_x0000_t32" style="position:absolute;left:0;text-align:left;margin-left:279.4pt;margin-top:178.25pt;width:27pt;height:.05pt;z-index:251664896" o:preferrelative="t" filled="t">
            <v:stroke endarrow="block" miterlimit="2"/>
          </v:shape>
        </w:pict>
      </w:r>
      <w:r>
        <w:rPr>
          <w:noProof/>
        </w:rPr>
        <w:pict>
          <v:shape id="Straight Connector 148" o:spid="_x0000_s1048" type="#_x0000_t32" style="position:absolute;left:0;text-align:left;margin-left:102.55pt;margin-top:246.25pt;width:33.8pt;height:.05pt;z-index:251665920" o:preferrelative="t" filled="t">
            <v:stroke endarrow="block" miterlimit="2"/>
          </v:shape>
        </w:pict>
      </w:r>
      <w:r>
        <w:rPr>
          <w:noProof/>
        </w:rPr>
        <w:pict>
          <v:shape id="Straight Connector 149" o:spid="_x0000_s1049" type="#_x0000_t32" style="position:absolute;left:0;text-align:left;margin-left:102.55pt;margin-top:178.25pt;width:33.8pt;height:.05pt;flip:x;z-index:251666944" o:preferrelative="t" filled="t">
            <v:stroke endarrow="block" miterlimit="2"/>
          </v:shape>
        </w:pict>
      </w:r>
      <w:r>
        <w:rPr>
          <w:noProof/>
        </w:rPr>
        <w:pict>
          <v:shape id="Straight Connector 150" o:spid="_x0000_s1050" type="#_x0000_t32" style="position:absolute;left:0;text-align:left;margin-left:28.75pt;margin-top:201.55pt;width:.95pt;height:43pt;z-index:251667968" o:preferrelative="t" filled="t">
            <v:stroke endarrow="block" miterlimit="2"/>
          </v:shape>
        </w:pict>
      </w:r>
      <w:r>
        <w:rPr>
          <w:noProof/>
        </w:rPr>
        <w:pict>
          <v:shape id="Straight Connector 151" o:spid="_x0000_s1051" type="#_x0000_t32" style="position:absolute;left:0;text-align:left;margin-left:376.6pt;margin-top:216.25pt;width:.05pt;height:29.05pt;z-index:251668992" o:preferrelative="t" filled="t">
            <v:stroke endarrow="block" miterlimit="2"/>
          </v:shape>
        </w:pict>
      </w:r>
      <w:r>
        <w:rPr>
          <w:noProof/>
        </w:rPr>
        <w:pict>
          <v:shape id="Straight Connector 152" o:spid="_x0000_s1052" type="#_x0000_t32" style="position:absolute;left:0;text-align:left;margin-left:102.55pt;margin-top:124.2pt;width:68.35pt;height:.05pt;flip:x;z-index:251670016" o:preferrelative="t" filled="t">
            <v:stroke endarrow="block" miterlimit="2"/>
          </v:shape>
        </w:pict>
      </w:r>
      <w:r>
        <w:rPr>
          <w:noProof/>
        </w:rPr>
        <w:pict>
          <v:shape id="Straight Connector 153" o:spid="_x0000_s1053" type="#_x0000_t32" style="position:absolute;left:0;text-align:left;margin-left:356.05pt;margin-top:78.3pt;width:.05pt;height:28.35pt;flip:y;z-index:251671040" o:preferrelative="t" filled="t">
            <v:stroke miterlimit="2"/>
          </v:shape>
        </w:pict>
      </w:r>
      <w:r>
        <w:rPr>
          <w:noProof/>
        </w:rPr>
        <w:pict>
          <v:shape id="Straight Connector 154" o:spid="_x0000_s1054" type="#_x0000_t32" style="position:absolute;left:0;text-align:left;margin-left:267.2pt;margin-top:78.3pt;width:88.85pt;height:.05pt;flip:x;z-index:251672064" o:preferrelative="t" filled="t">
            <v:stroke endarrow="block" miterlimit="2"/>
          </v:shape>
        </w:pict>
      </w: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  <w:r>
        <w:rPr>
          <w:noProof/>
        </w:rPr>
        <w:pict>
          <v:rect id="Rectangle 156" o:spid="_x0000_s1055" style="position:absolute;left:0;text-align:left;margin-left:243.6pt;margin-top:1.9pt;width:57.95pt;height:22.15pt;z-index:251674112" o:preferrelative="t" strokecolor="white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不通过</w:t>
                  </w:r>
                  <w:r>
                    <w:rPr>
                      <w:rFonts w:cs="Times New Roman"/>
                    </w:rP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Rectangle 155" o:spid="_x0000_s1056" style="position:absolute;left:0;text-align:left;margin-left:112.65pt;margin-top:1.9pt;width:52.3pt;height:22.15pt;z-index:251673088" o:preferrelative="t" strokecolor="white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宋体" w:hint="eastAsia"/>
                      <w:sz w:val="18"/>
                      <w:szCs w:val="18"/>
                    </w:rPr>
                    <w:t>不通过</w:t>
                  </w:r>
                  <w:r>
                    <w:rPr>
                      <w:rFonts w:cs="Times New Roman"/>
                      <w:sz w:val="18"/>
                      <w:szCs w:val="18"/>
                    </w:rPr>
                    <w:tab/>
                  </w:r>
                </w:p>
              </w:txbxContent>
            </v:textbox>
          </v:rect>
        </w:pict>
      </w: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  <w:r>
        <w:rPr>
          <w:noProof/>
        </w:rPr>
        <w:pict>
          <v:rect id="Rectangle 1320" o:spid="_x0000_s1057" style="position:absolute;left:0;text-align:left;margin-left:221.45pt;margin-top:12.65pt;width:57.95pt;height:22.15pt;z-index:251675136" o:preferrelative="t" strokecolor="white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通过</w:t>
                  </w:r>
                  <w:r>
                    <w:rPr>
                      <w:rFonts w:cs="Times New Roman"/>
                    </w:rPr>
                    <w:tab/>
                  </w:r>
                </w:p>
              </w:txbxContent>
            </v:textbox>
          </v:rect>
        </w:pict>
      </w: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  <w:r>
        <w:rPr>
          <w:noProof/>
        </w:rPr>
        <w:pict>
          <v:shape id="Straight Connector 141" o:spid="_x0000_s1058" type="#_x0000_t32" style="position:absolute;left:0;text-align:left;margin-left:215.15pt;margin-top:1.8pt;width:.05pt;height:30.85pt;z-index:251662848" o:preferrelative="t" filled="t">
            <v:stroke endarrow="block" miterlimit="2"/>
          </v:shape>
        </w:pict>
      </w: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  <w:r>
        <w:rPr>
          <w:noProof/>
        </w:rPr>
        <w:pict>
          <v:rect id="Rectangle 131" o:spid="_x0000_s1059" style="position:absolute;left:0;text-align:left;margin-left:127.55pt;margin-top:1.8pt;width:176.25pt;height:54.2pt;z-index:251653632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养老金待遇终止、计算丧葬补助抚恤待遇，核定遗属待遇</w:t>
                  </w:r>
                </w:p>
              </w:txbxContent>
            </v:textbox>
          </v:rect>
        </w:pict>
      </w: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  <w:r>
        <w:rPr>
          <w:noProof/>
        </w:rPr>
        <w:pict>
          <v:shape id="Straight Connector 1321" o:spid="_x0000_s1060" type="#_x0000_t32" style="position:absolute;left:0;text-align:left;margin-left:215.2pt;margin-top:2.55pt;width:.05pt;height:30.85pt;z-index:251676160" o:preferrelative="t" filled="t">
            <v:stroke endarrow="block" miterlimit="2"/>
          </v:shape>
        </w:pict>
      </w:r>
    </w:p>
    <w:p w:rsidR="009B557A" w:rsidRDefault="009B557A">
      <w:pPr>
        <w:tabs>
          <w:tab w:val="left" w:pos="7548"/>
        </w:tabs>
        <w:rPr>
          <w:rFonts w:cs="Times New Roman"/>
        </w:rPr>
      </w:pPr>
      <w:r>
        <w:rPr>
          <w:noProof/>
        </w:rPr>
        <w:pict>
          <v:rect id="Rectangle 132" o:spid="_x0000_s1061" style="position:absolute;left:0;text-align:left;margin-left:141.05pt;margin-top:13.65pt;width:143.05pt;height:25.25pt;z-index:251654656" o:preferrelative="t">
            <v:stroke miterlimit="2"/>
            <v:textbox>
              <w:txbxContent>
                <w:p w:rsidR="009B557A" w:rsidRDefault="009B557A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</w:rPr>
                    <w:t>遗属按月领取遗属补助金</w:t>
                  </w:r>
                </w:p>
              </w:txbxContent>
            </v:textbox>
          </v:rect>
        </w:pict>
      </w: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tabs>
          <w:tab w:val="left" w:pos="7548"/>
        </w:tabs>
        <w:rPr>
          <w:rFonts w:cs="Times New Roman"/>
        </w:rPr>
      </w:pPr>
    </w:p>
    <w:p w:rsidR="009B557A" w:rsidRDefault="009B557A">
      <w:pPr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2" o:spid="_x0000_s1062" type="#_x0000_t202" style="position:absolute;left:0;text-align:left;margin-left:256.9pt;margin-top:.75pt;width:172.05pt;height:50.2pt;z-index:251639296" o:preferrelative="t" filled="f" stroked="f">
            <v:textbox inset="7.21pt,,7.21pt">
              <w:txbxContent>
                <w:p w:rsidR="009B557A" w:rsidRDefault="009B557A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承办机构：企业养老保险管理中心</w:t>
                  </w:r>
                </w:p>
                <w:p w:rsidR="009B557A" w:rsidRDefault="009B557A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服务电话：</w:t>
                  </w:r>
                  <w:r>
                    <w:rPr>
                      <w:rFonts w:ascii="黑体" w:eastAsia="黑体" w:hAnsi="黑体" w:cs="黑体"/>
                    </w:rPr>
                    <w:t>2218280</w:t>
                  </w:r>
                </w:p>
                <w:p w:rsidR="009B557A" w:rsidRDefault="009B557A">
                  <w:pPr>
                    <w:snapToGrid w:val="0"/>
                    <w:rPr>
                      <w:rFonts w:ascii="黑体" w:eastAsia="黑体" w:hAnsi="黑体" w:cs="黑体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监督电话：</w:t>
                  </w:r>
                  <w:r>
                    <w:rPr>
                      <w:rFonts w:ascii="黑体" w:eastAsia="黑体" w:hAnsi="黑体" w:cs="黑体"/>
                    </w:rPr>
                    <w:t>2199409</w:t>
                  </w:r>
                </w:p>
              </w:txbxContent>
            </v:textbox>
          </v:shape>
        </w:pict>
      </w:r>
    </w:p>
    <w:p w:rsidR="009B557A" w:rsidRDefault="009B557A">
      <w:pPr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</w:p>
    <w:p w:rsidR="009B557A" w:rsidRDefault="009B557A">
      <w:pPr>
        <w:tabs>
          <w:tab w:val="left" w:pos="2166"/>
          <w:tab w:val="left" w:pos="4821"/>
        </w:tabs>
        <w:jc w:val="left"/>
        <w:rPr>
          <w:rFonts w:cs="Times New Roman"/>
        </w:rPr>
      </w:pPr>
      <w:bookmarkStart w:id="0" w:name="_GoBack"/>
      <w:bookmarkEnd w:id="0"/>
    </w:p>
    <w:sectPr w:rsidR="009B557A" w:rsidSect="003101A4">
      <w:pgSz w:w="11906" w:h="16838"/>
      <w:pgMar w:top="1440" w:right="1800" w:bottom="1440" w:left="1800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241"/>
    <w:rsid w:val="000A300B"/>
    <w:rsid w:val="002154FB"/>
    <w:rsid w:val="0022138E"/>
    <w:rsid w:val="002A5D51"/>
    <w:rsid w:val="002E1024"/>
    <w:rsid w:val="003101A4"/>
    <w:rsid w:val="00447F71"/>
    <w:rsid w:val="00692634"/>
    <w:rsid w:val="006D71DA"/>
    <w:rsid w:val="00797241"/>
    <w:rsid w:val="008B7C29"/>
    <w:rsid w:val="008F5DF7"/>
    <w:rsid w:val="009B557A"/>
    <w:rsid w:val="00B9462E"/>
    <w:rsid w:val="00D76C9F"/>
    <w:rsid w:val="23B6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1A4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01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01A4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3101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01A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10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01A4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3101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</Words>
  <Characters>99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晋城市人社局行政给付职权运行风险防控图</dc:title>
  <dc:subject/>
  <dc:creator>jc</dc:creator>
  <cp:keywords/>
  <dc:description/>
  <cp:lastModifiedBy>User</cp:lastModifiedBy>
  <cp:revision>2</cp:revision>
  <dcterms:created xsi:type="dcterms:W3CDTF">2015-11-01T02:27:00Z</dcterms:created>
  <dcterms:modified xsi:type="dcterms:W3CDTF">2020-04-23T07:34:00Z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